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mc:AlternateContent>
          <mc:Choice Requires="wps">
            <w:drawing>
              <wp:inline distB="0" distT="0" distL="0" distR="0">
                <wp:extent cx="2668555" cy="410547"/>
                <wp:docPr id="79" name=""/>
                <a:graphic>
                  <a:graphicData uri="http://schemas.microsoft.com/office/word/2010/wordprocessingShape">
                    <wps:wsp>
                      <wps:cNvSpPr/>
                      <wps:spPr>
                        <a:xfrm>
                          <a:off x="0" y="0"/>
                          <a:ext cx="2668555" cy="410547"/>
                        </a:xfrm>
                        <a:prstGeom prst="rect">
                          <a:avLst/>
                        </a:prstGeom>
                        <a:noFill/>
                        <a:ln w="25400">
                          <a:solidFill>
                            <a:schemeClr val="tx2"/>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A82F39" w:rsidDel="00000000" w:rsidP="00A82F39" w:rsidRDefault="00E00C3F" w:rsidRPr="00A82F39" w14:paraId="40E17A0A" w14:textId="582CE8BD">
                            <w:pPr>
                              <w:spacing w:line="240" w:lineRule="auto"/>
                              <w:jc w:val="center"/>
                              <w:rPr>
                                <w:b w:val="1"/>
                                <w:color w:val="455f51" w:themeColor="text2"/>
                                <w:sz w:val="40"/>
                              </w:rPr>
                            </w:pPr>
                            <w:r w:rsidDel="00000000" w:rsidR="00000000" w:rsidRPr="00000000">
                              <w:rPr>
                                <w:b w:val="1"/>
                                <w:noProof w:val="1"/>
                                <w:color w:val="455f51" w:themeColor="text2"/>
                                <w:sz w:val="40"/>
                              </w:rPr>
                              <w:drawing>
                                <wp:inline distB="0" distT="0" distL="0" distR="0">
                                  <wp:extent cx="1789430" cy="293370"/>
                                  <wp:effectExtent b="0" l="0" r="1270" t="0"/>
                                  <wp:docPr descr="A green and white sign&#10;&#10;Description automatically generated with medium confidence" id="1" name="Picture 1"/>
                                  <wp:cNvGraphicFramePr>
                                    <a:graphicFrameLocks noChangeAspect="1"/>
                                  </wp:cNvGraphicFramePr>
                                  <a:graphic>
                                    <a:graphicData uri="http://schemas.openxmlformats.org/drawingml/2006/picture">
                                      <pic:pic>
                                        <pic:nvPicPr>
                                          <pic:cNvPr descr="A green and white sign&#10;&#10;Description automatically generated with medium confidence" id="1" name="Picture 1"/>
                                          <pic:cNvPicPr/>
                                        </pic:nvPicPr>
                                        <pic:blipFill>
                                          <a:blip r:embed="rId1">
                                            <a:extLst>
                                              <a:ext uri="{28A0092B-C50C-407E-A947-70E740481C1C}"/>
                                            </a:extLst>
                                          </a:blip>
                                          <a:stretch>
                                            <a:fillRect/>
                                          </a:stretch>
                                        </pic:blipFill>
                                        <pic:spPr>
                                          <a:xfrm>
                                            <a:off x="0" y="0"/>
                                            <a:ext cx="1789430" cy="293370"/>
                                          </a:xfrm>
                                          <a:prstGeom prst="rect">
                                            <a:avLst/>
                                          </a:prstGeom>
                                        </pic:spPr>
                                      </pic:pic>
                                    </a:graphicData>
                                  </a:graphic>
                                </wp:inline>
                              </w:drawing>
                            </w:r>
                          </w:p>
                        </w:txbxContent>
                      </wps:txbx>
                      <wps:bodyPr anchorCtr="0" anchor="b"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inline>
            </w:drawing>
          </mc:Choice>
          <mc:Fallback>
            <w:drawing>
              <wp:inline distB="0" distT="0" distL="0" distR="0">
                <wp:extent cx="2668555" cy="410547"/>
                <wp:effectExtent b="0" l="0" r="0" t="0"/>
                <wp:docPr id="7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668555" cy="41054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Financial Literacy Month Tool Kit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NAST Members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From:</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Catherine Seat, Communications Director</w:t>
      </w:r>
    </w:p>
    <w:p w:rsidR="00000000" w:rsidDel="00000000" w:rsidP="00000000" w:rsidRDefault="00000000" w:rsidRPr="00000000" w14:paraId="00000005">
      <w:pPr>
        <w:pStyle w:val="Heading2"/>
        <w:rPr>
          <w:b w:val="1"/>
          <w:sz w:val="24"/>
          <w:szCs w:val="24"/>
          <w:u w:val="single"/>
        </w:rPr>
      </w:pPr>
      <w:r w:rsidDel="00000000" w:rsidR="00000000" w:rsidRPr="00000000">
        <w:rPr>
          <w:b w:val="1"/>
          <w:sz w:val="24"/>
          <w:szCs w:val="24"/>
          <w:u w:val="single"/>
          <w:rtl w:val="0"/>
        </w:rPr>
        <w:t xml:space="preserve">Introduction</w:t>
        <w:br w:type="textWrapping"/>
      </w:r>
      <w:r w:rsidDel="00000000" w:rsidR="00000000" w:rsidRPr="00000000">
        <w:rPr>
          <w:color w:val="000000"/>
          <w:sz w:val="24"/>
          <w:szCs w:val="24"/>
          <w:rtl w:val="0"/>
        </w:rPr>
        <w:t xml:space="preserve">In this toolkit you will find several ways to promote Financial Literacy month in your state. We have organized graphics, created sample tweets, and drafted both an op-ed for your local paper as well as a press release. Please use any/all of the resources! </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If you have any questions or would like some additional support, please reach out to Catherine at </w:t>
      </w:r>
      <w:hyperlink r:id="rId9">
        <w:r w:rsidDel="00000000" w:rsidR="00000000" w:rsidRPr="00000000">
          <w:rPr>
            <w:color w:val="6b9f25"/>
            <w:u w:val="single"/>
            <w:rtl w:val="0"/>
          </w:rPr>
          <w:t xml:space="preserve">Catherine@statetreasurers.org</w:t>
        </w:r>
      </w:hyperlink>
      <w:r w:rsidDel="00000000" w:rsidR="00000000" w:rsidRPr="00000000">
        <w:rPr>
          <w:rtl w:val="0"/>
        </w:rPr>
        <w:t xml:space="preserve">. </w:t>
      </w:r>
    </w:p>
    <w:p w:rsidR="00000000" w:rsidDel="00000000" w:rsidP="00000000" w:rsidRDefault="00000000" w:rsidRPr="00000000" w14:paraId="00000007">
      <w:pPr>
        <w:rPr>
          <w:b w:val="1"/>
          <w:color w:val="549e39"/>
          <w:u w:val="single"/>
        </w:rPr>
      </w:pPr>
      <w:r w:rsidDel="00000000" w:rsidR="00000000" w:rsidRPr="00000000">
        <w:rPr>
          <w:b w:val="1"/>
          <w:color w:val="455f51"/>
          <w:sz w:val="24"/>
          <w:szCs w:val="24"/>
          <w:u w:val="single"/>
          <w:rtl w:val="0"/>
        </w:rPr>
        <w:t xml:space="preserve">Graphics</w:t>
      </w:r>
      <w:r w:rsidDel="00000000" w:rsidR="00000000" w:rsidRPr="00000000">
        <w:rPr>
          <w:b w:val="1"/>
          <w:u w:val="single"/>
          <w:rtl w:val="0"/>
        </w:rPr>
        <w:br w:type="textWrapping"/>
      </w:r>
      <w:r w:rsidDel="00000000" w:rsidR="00000000" w:rsidRPr="00000000">
        <w:rPr>
          <w:b w:val="1"/>
          <w:color w:val="8ab833"/>
          <w:u w:val="single"/>
          <w:rtl w:val="0"/>
        </w:rPr>
        <w:br w:type="textWrapping"/>
      </w:r>
      <w:hyperlink r:id="rId10">
        <w:r w:rsidDel="00000000" w:rsidR="00000000" w:rsidRPr="00000000">
          <w:rPr>
            <w:color w:val="549e39"/>
            <w:u w:val="single"/>
            <w:rtl w:val="0"/>
          </w:rPr>
          <w:t xml:space="preserve">https://nast.org/wp-content/uploads/financialwellness/speakers/infographic.pdf</w:t>
        </w:r>
      </w:hyperlink>
      <w:r w:rsidDel="00000000" w:rsidR="00000000" w:rsidRPr="00000000">
        <w:rPr>
          <w:color w:val="549e39"/>
          <w:rtl w:val="0"/>
        </w:rPr>
        <w:t xml:space="preserve">    </w:t>
      </w:r>
      <w:r w:rsidDel="00000000" w:rsidR="00000000" w:rsidRPr="00000000">
        <w:rPr>
          <w:rtl w:val="0"/>
        </w:rPr>
      </w:r>
    </w:p>
    <w:p w:rsidR="00000000" w:rsidDel="00000000" w:rsidP="00000000" w:rsidRDefault="00000000" w:rsidRPr="00000000" w14:paraId="00000008">
      <w:pPr>
        <w:rPr/>
      </w:pPr>
      <w:hyperlink r:id="rId11">
        <w:r w:rsidDel="00000000" w:rsidR="00000000" w:rsidRPr="00000000">
          <w:rPr>
            <w:color w:val="549e39"/>
            <w:u w:val="single"/>
            <w:rtl w:val="0"/>
          </w:rPr>
          <w:t xml:space="preserve">https://nast.org/wp-content/uploads/financialwellness/speakers/worksheet.pdf</w:t>
        </w:r>
      </w:hyperlink>
      <w:r w:rsidDel="00000000" w:rsidR="00000000" w:rsidRPr="00000000">
        <w:rPr>
          <w:rtl w:val="0"/>
        </w:rPr>
        <w:t xml:space="preserve"> </w:t>
      </w:r>
    </w:p>
    <w:p w:rsidR="00000000" w:rsidDel="00000000" w:rsidP="00000000" w:rsidRDefault="00000000" w:rsidRPr="00000000" w14:paraId="00000009">
      <w:pPr>
        <w:pStyle w:val="Heading2"/>
        <w:rPr>
          <w:b w:val="1"/>
          <w:sz w:val="24"/>
          <w:szCs w:val="24"/>
          <w:u w:val="single"/>
        </w:rPr>
      </w:pPr>
      <w:r w:rsidDel="00000000" w:rsidR="00000000" w:rsidRPr="00000000">
        <w:rPr>
          <w:rtl w:val="0"/>
        </w:rPr>
      </w:r>
    </w:p>
    <w:p w:rsidR="00000000" w:rsidDel="00000000" w:rsidP="00000000" w:rsidRDefault="00000000" w:rsidRPr="00000000" w14:paraId="0000000A">
      <w:pPr>
        <w:rPr>
          <w:b w:val="1"/>
          <w:color w:val="455f51"/>
          <w:u w:val="single"/>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2"/>
        <w:rPr>
          <w:b w:val="1"/>
          <w:color w:val="029676"/>
          <w:sz w:val="24"/>
          <w:szCs w:val="24"/>
          <w:u w:val="single"/>
        </w:rPr>
      </w:pPr>
      <w:r w:rsidDel="00000000" w:rsidR="00000000" w:rsidRPr="00000000">
        <w:rPr>
          <w:b w:val="1"/>
          <w:sz w:val="24"/>
          <w:szCs w:val="24"/>
          <w:u w:val="single"/>
          <w:rtl w:val="0"/>
        </w:rPr>
        <w:t xml:space="preserve">Social Media Posts</w:t>
        <w:br w:type="textWrapping"/>
      </w:r>
      <w:hyperlink r:id="rId12">
        <w:r w:rsidDel="00000000" w:rsidR="00000000" w:rsidRPr="00000000">
          <w:rPr>
            <w:color w:val="549e39"/>
            <w:sz w:val="24"/>
            <w:szCs w:val="24"/>
            <w:u w:val="single"/>
            <w:rtl w:val="0"/>
          </w:rPr>
          <w:t xml:space="preserve">https://nast.org/wp-content/uploads/financialwellness/toolkit/social.pdf</w:t>
        </w:r>
      </w:hyperlink>
      <w:r w:rsidDel="00000000" w:rsidR="00000000" w:rsidRPr="00000000">
        <w:rPr>
          <w:color w:val="549e39"/>
          <w:sz w:val="24"/>
          <w:szCs w:val="24"/>
          <w:rtl w:val="0"/>
        </w:rPr>
        <w:t xml:space="preserve"> </w:t>
      </w:r>
      <w:r w:rsidDel="00000000" w:rsidR="00000000" w:rsidRPr="00000000">
        <w:rPr>
          <w:color w:val="549e39"/>
          <w:rtl w:val="0"/>
        </w:rPr>
        <w:t xml:space="preserve"> </w:t>
      </w: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Hashtags</w:t>
      </w:r>
      <w:r w:rsidDel="00000000" w:rsidR="00000000" w:rsidRPr="00000000">
        <w:rPr>
          <w:rtl w:val="0"/>
        </w:rPr>
        <w:t xml:space="preserve">: #FinancialEducation #NASTSaves #StateTreasurers </w:t>
      </w:r>
    </w:p>
    <w:p w:rsidR="00000000" w:rsidDel="00000000" w:rsidP="00000000" w:rsidRDefault="00000000" w:rsidRPr="00000000" w14:paraId="0000000D">
      <w:pPr>
        <w:rPr/>
      </w:pPr>
      <w:r w:rsidDel="00000000" w:rsidR="00000000" w:rsidRPr="00000000">
        <w:rPr>
          <w:u w:val="single"/>
          <w:rtl w:val="0"/>
        </w:rPr>
        <w:t xml:space="preserve">Tags:</w:t>
      </w:r>
      <w:r w:rsidDel="00000000" w:rsidR="00000000" w:rsidRPr="00000000">
        <w:rPr>
          <w:rtl w:val="0"/>
        </w:rPr>
        <w:t xml:space="preserve"> @StateTreasurers @529forCollege</w:t>
      </w:r>
    </w:p>
    <w:p w:rsidR="00000000" w:rsidDel="00000000" w:rsidP="00000000" w:rsidRDefault="00000000" w:rsidRPr="00000000" w14:paraId="0000000E">
      <w:pPr>
        <w:rPr/>
      </w:pPr>
      <w:r w:rsidDel="00000000" w:rsidR="00000000" w:rsidRPr="00000000">
        <w:rPr>
          <w:rtl w:val="0"/>
        </w:rPr>
        <w:t xml:space="preserve">Are you financially stressed? You are not alone! Learn more about how to take charge of your finances with this free financial wellness program: </w:t>
      </w:r>
      <w:hyperlink r:id="rId13">
        <w:r w:rsidDel="00000000" w:rsidR="00000000" w:rsidRPr="00000000">
          <w:rPr>
            <w:color w:val="6b9f25"/>
            <w:u w:val="single"/>
            <w:rtl w:val="0"/>
          </w:rPr>
          <w:t xml:space="preserve">https://bit.ly/3t3y3cA</w:t>
        </w:r>
      </w:hyperlink>
      <w:r w:rsidDel="00000000" w:rsidR="00000000" w:rsidRPr="00000000">
        <w:rPr>
          <w:rtl w:val="0"/>
        </w:rPr>
        <w:t xml:space="preserve"> #FinancialEducation #NASTSaves</w:t>
      </w:r>
    </w:p>
    <w:p w:rsidR="00000000" w:rsidDel="00000000" w:rsidP="00000000" w:rsidRDefault="00000000" w:rsidRPr="00000000" w14:paraId="0000000F">
      <w:pPr>
        <w:rPr/>
      </w:pPr>
      <w:r w:rsidDel="00000000" w:rsidR="00000000" w:rsidRPr="00000000">
        <w:rPr>
          <w:rtl w:val="0"/>
        </w:rPr>
        <w:t xml:space="preserve">Americans owe more than $1.74 trillion in student loan debt. Are you one of them? @529forCollege accounts help Americans invest for education expenses. Let’s plan and save during Financial Education Month instead of borrowing and paying later! #NASTSaves</w:t>
      </w:r>
    </w:p>
    <w:p w:rsidR="00000000" w:rsidDel="00000000" w:rsidP="00000000" w:rsidRDefault="00000000" w:rsidRPr="00000000" w14:paraId="00000010">
      <w:pPr>
        <w:rPr/>
      </w:pPr>
      <w:r w:rsidDel="00000000" w:rsidR="00000000" w:rsidRPr="00000000">
        <w:rPr>
          <w:rtl w:val="0"/>
        </w:rPr>
        <w:t xml:space="preserve">Does budgeting seem scary? Don’t want to know where your money actually goes every month? Check out this easy-to-use fill-in-the-blank worksheet to gauge your financial wellness: </w:t>
      </w:r>
      <w:hyperlink r:id="rId14">
        <w:r w:rsidDel="00000000" w:rsidR="00000000" w:rsidRPr="00000000">
          <w:rPr>
            <w:color w:val="6b9f25"/>
            <w:u w:val="single"/>
            <w:rtl w:val="0"/>
          </w:rPr>
          <w:t xml:space="preserve">https://bit.ly/3rBY5Dn</w:t>
        </w:r>
      </w:hyperlink>
      <w:r w:rsidDel="00000000" w:rsidR="00000000" w:rsidRPr="00000000">
        <w:rPr>
          <w:rtl w:val="0"/>
        </w:rPr>
        <w:t xml:space="preserve"> Take charge today! #FinancialEducation</w:t>
      </w:r>
    </w:p>
    <w:p w:rsidR="00000000" w:rsidDel="00000000" w:rsidP="00000000" w:rsidRDefault="00000000" w:rsidRPr="00000000" w14:paraId="00000011">
      <w:pPr>
        <w:rPr/>
      </w:pPr>
      <w:r w:rsidDel="00000000" w:rsidR="00000000" w:rsidRPr="00000000">
        <w:rPr>
          <w:rtl w:val="0"/>
        </w:rPr>
        <w:t xml:space="preserve">April is #FinancialLiteracyMonth. Tell us what you are doing to improve your financial wellness this month in the comments! Need ideas? Check out these resources: </w:t>
      </w:r>
      <w:hyperlink r:id="rId15">
        <w:r w:rsidDel="00000000" w:rsidR="00000000" w:rsidRPr="00000000">
          <w:rPr>
            <w:color w:val="6b9f25"/>
            <w:u w:val="single"/>
            <w:rtl w:val="0"/>
          </w:rPr>
          <w:t xml:space="preserve">https://bit.ly/3rBYOEB</w:t>
        </w:r>
      </w:hyperlink>
      <w:r w:rsidDel="00000000" w:rsidR="00000000" w:rsidRPr="00000000">
        <w:rPr>
          <w:rtl w:val="0"/>
        </w:rPr>
        <w:t xml:space="preserve"> #NASTSaves</w:t>
      </w:r>
    </w:p>
    <w:p w:rsidR="00000000" w:rsidDel="00000000" w:rsidP="00000000" w:rsidRDefault="00000000" w:rsidRPr="00000000" w14:paraId="00000012">
      <w:pPr>
        <w:rPr/>
      </w:pPr>
      <w:r w:rsidDel="00000000" w:rsidR="00000000" w:rsidRPr="00000000">
        <w:rPr>
          <w:rtl w:val="0"/>
        </w:rPr>
        <w:t xml:space="preserve">Want to learn more about financial education opportunities throughout the country? Click on your state and see how you can get involved! </w:t>
      </w:r>
      <w:hyperlink r:id="rId16">
        <w:r w:rsidDel="00000000" w:rsidR="00000000" w:rsidRPr="00000000">
          <w:rPr>
            <w:color w:val="6b9f25"/>
            <w:u w:val="single"/>
            <w:rtl w:val="0"/>
          </w:rPr>
          <w:t xml:space="preserve">https://nast.org/financialwellness/census/</w:t>
        </w:r>
      </w:hyperlink>
      <w:r w:rsidDel="00000000" w:rsidR="00000000" w:rsidRPr="00000000">
        <w:rPr>
          <w:rtl w:val="0"/>
        </w:rPr>
        <w:t xml:space="preserve"> #NASTSaves #StateTreasurers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rPr>
          <w:b w:val="1"/>
          <w:sz w:val="24"/>
          <w:szCs w:val="24"/>
          <w:u w:val="single"/>
        </w:rPr>
      </w:pPr>
      <w:r w:rsidDel="00000000" w:rsidR="00000000" w:rsidRPr="00000000">
        <w:rPr>
          <w:b w:val="1"/>
          <w:sz w:val="24"/>
          <w:szCs w:val="24"/>
          <w:u w:val="single"/>
          <w:rtl w:val="0"/>
        </w:rPr>
        <w:t xml:space="preserve">Sample Op-Ed</w:t>
      </w:r>
    </w:p>
    <w:p w:rsidR="00000000" w:rsidDel="00000000" w:rsidP="00000000" w:rsidRDefault="00000000" w:rsidRPr="00000000" w14:paraId="00000016">
      <w:pPr>
        <w:rPr/>
      </w:pPr>
      <w:hyperlink r:id="rId17">
        <w:r w:rsidDel="00000000" w:rsidR="00000000" w:rsidRPr="00000000">
          <w:rPr>
            <w:color w:val="6b9f25"/>
            <w:u w:val="single"/>
            <w:rtl w:val="0"/>
          </w:rPr>
          <w:t xml:space="preserve">https://nast.org/wp-content/uploads/financialwellness/toolkit/op-ed.pdf</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t xml:space="preserve">April showers bring May flowers, right? April is a month of renewal and rebirth as we shake off the cold of winter, watch flowers bloom, and hope for the warmth of summer. As we do our spring cleaning, let us also consider a review of our financial wellness in the spirit of renewal this April. </w:t>
      </w:r>
    </w:p>
    <w:p w:rsidR="00000000" w:rsidDel="00000000" w:rsidP="00000000" w:rsidRDefault="00000000" w:rsidRPr="00000000" w14:paraId="00000018">
      <w:pPr>
        <w:rPr/>
      </w:pPr>
      <w:r w:rsidDel="00000000" w:rsidR="00000000" w:rsidRPr="00000000">
        <w:rPr>
          <w:rtl w:val="0"/>
        </w:rPr>
        <w:t xml:space="preserve">In many circles, April is celebrated as Financial Literacy Month. A time to encourage Americans to learn a new financial tool, save a little extra money, and plan for our financial future. That looks different to every person. </w:t>
      </w:r>
    </w:p>
    <w:p w:rsidR="00000000" w:rsidDel="00000000" w:rsidP="00000000" w:rsidRDefault="00000000" w:rsidRPr="00000000" w14:paraId="00000019">
      <w:pPr>
        <w:rPr/>
      </w:pPr>
      <w:r w:rsidDel="00000000" w:rsidR="00000000" w:rsidRPr="00000000">
        <w:rPr>
          <w:rtl w:val="0"/>
        </w:rPr>
        <w:t xml:space="preserve">According to PwC’s annual </w:t>
      </w:r>
      <w:hyperlink r:id="rId18">
        <w:r w:rsidDel="00000000" w:rsidR="00000000" w:rsidRPr="00000000">
          <w:rPr>
            <w:color w:val="6b9f25"/>
            <w:u w:val="single"/>
            <w:rtl w:val="0"/>
          </w:rPr>
          <w:t xml:space="preserve">Employee Financial Wellness Survey</w:t>
        </w:r>
      </w:hyperlink>
      <w:r w:rsidDel="00000000" w:rsidR="00000000" w:rsidRPr="00000000">
        <w:rPr>
          <w:rtl w:val="0"/>
        </w:rPr>
        <w:t xml:space="preserve"> in 2023, 60% of employees are experiencing stress around their finances in the workplace. As an employer myself, I want to provide resources to meet the needs of my employees and what causes them stress. </w:t>
      </w:r>
    </w:p>
    <w:p w:rsidR="00000000" w:rsidDel="00000000" w:rsidP="00000000" w:rsidRDefault="00000000" w:rsidRPr="00000000" w14:paraId="0000001A">
      <w:pPr>
        <w:rPr/>
      </w:pPr>
      <w:r w:rsidDel="00000000" w:rsidR="00000000" w:rsidRPr="00000000">
        <w:rPr>
          <w:rtl w:val="0"/>
        </w:rPr>
        <w:t xml:space="preserve">I am a proud member of the National Association of State Treasurers (NAST). We have been working diligently to provide financial education resources to the constituents of {STATE}. NAST, along with the Center for State and Local Government Excellence and the International Public Management Association for Human Resources, funded by Wells Fargo developed the </w:t>
      </w:r>
      <w:hyperlink r:id="rId19">
        <w:r w:rsidDel="00000000" w:rsidR="00000000" w:rsidRPr="00000000">
          <w:rPr>
            <w:color w:val="6b9f25"/>
            <w:u w:val="single"/>
            <w:rtl w:val="0"/>
          </w:rPr>
          <w:t xml:space="preserve">Financial Wellness Education and Support Program</w:t>
        </w:r>
      </w:hyperlink>
      <w:r w:rsidDel="00000000" w:rsidR="00000000" w:rsidRPr="00000000">
        <w:rPr>
          <w:rtl w:val="0"/>
        </w:rPr>
        <w:t xml:space="preserve">. This program works specifically with government employees to give them financial education tools for success; however, these resources are valuable to everyone! I urge {Constituent Descriptor like “Hoosiers”} XX to take advantage of these free financial education tools. </w:t>
      </w:r>
    </w:p>
    <w:p w:rsidR="00000000" w:rsidDel="00000000" w:rsidP="00000000" w:rsidRDefault="00000000" w:rsidRPr="00000000" w14:paraId="0000001B">
      <w:pPr>
        <w:rPr/>
      </w:pPr>
      <w:r w:rsidDel="00000000" w:rsidR="00000000" w:rsidRPr="00000000">
        <w:rPr>
          <w:rtl w:val="0"/>
        </w:rPr>
        <w:t xml:space="preserve">{INSERT STATE SPECIFIC STORY OF FINANCIAL EDUCATION/INDEPENDENCE OR PROGRAM}</w:t>
      </w:r>
    </w:p>
    <w:p w:rsidR="00000000" w:rsidDel="00000000" w:rsidP="00000000" w:rsidRDefault="00000000" w:rsidRPr="00000000" w14:paraId="0000001C">
      <w:pPr>
        <w:rPr/>
      </w:pPr>
      <w:r w:rsidDel="00000000" w:rsidR="00000000" w:rsidRPr="00000000">
        <w:rPr>
          <w:rtl w:val="0"/>
        </w:rPr>
        <w:t xml:space="preserve">Resources and tools are readily available to take your financial knowledge to the next level. In XX, we have {INSERT RESOURCES/HELPFUL WEBSITES}. During this spring season, plant seeds now that will grow and produce lasting change for you and your family. </w:t>
      </w:r>
    </w:p>
    <w:p w:rsidR="00000000" w:rsidDel="00000000" w:rsidP="00000000" w:rsidRDefault="00000000" w:rsidRPr="00000000" w14:paraId="0000001D">
      <w:pPr>
        <w:pStyle w:val="Heading2"/>
        <w:rPr>
          <w:b w:val="1"/>
          <w:sz w:val="24"/>
          <w:szCs w:val="24"/>
          <w:u w:val="single"/>
        </w:rPr>
      </w:pPr>
      <w:r w:rsidDel="00000000" w:rsidR="00000000" w:rsidRPr="00000000">
        <w:rPr>
          <w:b w:val="1"/>
          <w:sz w:val="24"/>
          <w:szCs w:val="24"/>
          <w:u w:val="single"/>
          <w:rtl w:val="0"/>
        </w:rPr>
        <w:t xml:space="preserve">Sample Press Release</w:t>
      </w:r>
    </w:p>
    <w:p w:rsidR="00000000" w:rsidDel="00000000" w:rsidP="00000000" w:rsidRDefault="00000000" w:rsidRPr="00000000" w14:paraId="0000001E">
      <w:pPr>
        <w:rPr/>
      </w:pPr>
      <w:r w:rsidDel="00000000" w:rsidR="00000000" w:rsidRPr="00000000">
        <w:rPr>
          <w:rtl w:val="0"/>
        </w:rPr>
        <w:t xml:space="preserve">April XX, 2025 (City, State) – April is Financial Literacy Month. A dedicated time to reflect on the state of financial education in local communities and across the nation. Treasurer XX is dedicated to the financial wellness of XX.</w:t>
      </w:r>
    </w:p>
    <w:p w:rsidR="00000000" w:rsidDel="00000000" w:rsidP="00000000" w:rsidRDefault="00000000" w:rsidRPr="00000000" w14:paraId="0000001F">
      <w:pPr>
        <w:rPr/>
      </w:pPr>
      <w:r w:rsidDel="00000000" w:rsidR="00000000" w:rsidRPr="00000000">
        <w:rPr>
          <w:rtl w:val="0"/>
        </w:rPr>
        <w:t xml:space="preserve">According to </w:t>
      </w:r>
      <w:hyperlink r:id="rId20">
        <w:r w:rsidDel="00000000" w:rsidR="00000000" w:rsidRPr="00000000">
          <w:rPr>
            <w:color w:val="6b9f25"/>
            <w:u w:val="single"/>
            <w:rtl w:val="0"/>
          </w:rPr>
          <w:t xml:space="preserve">Standard &amp; Poor's Ratings Services Global Financial Literacy Survey</w:t>
        </w:r>
      </w:hyperlink>
      <w:r w:rsidDel="00000000" w:rsidR="00000000" w:rsidRPr="00000000">
        <w:rPr>
          <w:rtl w:val="0"/>
        </w:rPr>
        <w:t xml:space="preserve">, only 57% of adults in the US are considered financially literate. While 100% of Americans are making decisions with financial impact, only half are equipped to do so. </w:t>
      </w:r>
    </w:p>
    <w:p w:rsidR="00000000" w:rsidDel="00000000" w:rsidP="00000000" w:rsidRDefault="00000000" w:rsidRPr="00000000" w14:paraId="00000020">
      <w:pPr>
        <w:rPr>
          <w:i w:val="1"/>
        </w:rPr>
      </w:pPr>
      <w:r w:rsidDel="00000000" w:rsidR="00000000" w:rsidRPr="00000000">
        <w:rPr>
          <w:i w:val="1"/>
          <w:rtl w:val="0"/>
        </w:rPr>
        <w:t xml:space="preserve">{Quote from Treasurer XX}</w:t>
      </w:r>
    </w:p>
    <w:p w:rsidR="00000000" w:rsidDel="00000000" w:rsidP="00000000" w:rsidRDefault="00000000" w:rsidRPr="00000000" w14:paraId="00000021">
      <w:pPr>
        <w:rPr/>
      </w:pPr>
      <w:r w:rsidDel="00000000" w:rsidR="00000000" w:rsidRPr="00000000">
        <w:rPr>
          <w:rtl w:val="0"/>
        </w:rPr>
        <w:t xml:space="preserve">The National Association of State Treasurers (NAST) has provided tools for the continued financial education of government employees. Brought together by this shared mission, the Center for State and Local Government Excellence, the International Public Management Association for Human Resources and the NAST Foundation, funded by Wells Fargo developed the </w:t>
      </w:r>
      <w:hyperlink r:id="rId21">
        <w:r w:rsidDel="00000000" w:rsidR="00000000" w:rsidRPr="00000000">
          <w:rPr>
            <w:color w:val="6b9f25"/>
            <w:u w:val="single"/>
            <w:rtl w:val="0"/>
          </w:rPr>
          <w:t xml:space="preserve">Financial Wellness Education and Support Program</w:t>
        </w:r>
      </w:hyperlink>
      <w:r w:rsidDel="00000000" w:rsidR="00000000" w:rsidRPr="00000000">
        <w:rPr>
          <w:rtl w:val="0"/>
        </w:rPr>
        <w:t xml:space="preserve">. This program published a toolkit for speakers and conferences on the topic as well as a booklet walking through several stages in a person’s financial journey.  </w:t>
      </w:r>
    </w:p>
    <w:p w:rsidR="00000000" w:rsidDel="00000000" w:rsidP="00000000" w:rsidRDefault="00000000" w:rsidRPr="00000000" w14:paraId="00000022">
      <w:pPr>
        <w:rPr>
          <w:i w:val="1"/>
        </w:rPr>
      </w:pPr>
      <w:r w:rsidDel="00000000" w:rsidR="00000000" w:rsidRPr="00000000">
        <w:rPr>
          <w:i w:val="1"/>
          <w:rtl w:val="0"/>
        </w:rPr>
        <w:t xml:space="preserve">{Insert Local Financial Education Program}</w:t>
      </w:r>
    </w:p>
    <w:p w:rsidR="00000000" w:rsidDel="00000000" w:rsidP="00000000" w:rsidRDefault="00000000" w:rsidRPr="00000000" w14:paraId="00000023">
      <w:pPr>
        <w:rPr/>
      </w:pPr>
      <w:r w:rsidDel="00000000" w:rsidR="00000000" w:rsidRPr="00000000">
        <w:rPr>
          <w:rtl w:val="0"/>
        </w:rPr>
        <w:t xml:space="preserve">For more information on the Financial Wellness Educations and Support Program, email XX at XX. To contact the Office of XX State Treasurer, please call XX or email XX. </w:t>
      </w:r>
    </w:p>
    <w:p w:rsidR="00000000" w:rsidDel="00000000" w:rsidP="00000000" w:rsidRDefault="00000000" w:rsidRPr="00000000" w14:paraId="00000024">
      <w:pPr>
        <w:jc w:val="center"/>
        <w:rPr/>
      </w:pPr>
      <w:r w:rsidDel="00000000" w:rsidR="00000000" w:rsidRPr="00000000">
        <w:rPr>
          <w:rtl w:val="0"/>
        </w:rPr>
        <w:t xml:space="preserve">###</w:t>
      </w:r>
    </w:p>
    <w:p w:rsidR="00000000" w:rsidDel="00000000" w:rsidP="00000000" w:rsidRDefault="00000000" w:rsidRPr="00000000" w14:paraId="00000025">
      <w:pPr>
        <w:rPr>
          <w:b w:val="1"/>
          <w:color w:val="455f51"/>
          <w:u w:val="single"/>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rPr>
          <w:b w:val="1"/>
          <w:sz w:val="24"/>
          <w:szCs w:val="24"/>
          <w:u w:val="single"/>
        </w:rPr>
      </w:pPr>
      <w:r w:rsidDel="00000000" w:rsidR="00000000" w:rsidRPr="00000000">
        <w:rPr>
          <w:b w:val="1"/>
          <w:sz w:val="24"/>
          <w:szCs w:val="24"/>
          <w:u w:val="single"/>
          <w:rtl w:val="0"/>
        </w:rPr>
        <w:t xml:space="preserve">Resources</w:t>
      </w:r>
    </w:p>
    <w:p w:rsidR="00000000" w:rsidDel="00000000" w:rsidP="00000000" w:rsidRDefault="00000000" w:rsidRPr="00000000" w14:paraId="00000027">
      <w:pPr>
        <w:rPr/>
      </w:pPr>
      <w:r w:rsidDel="00000000" w:rsidR="00000000" w:rsidRPr="00000000">
        <w:rPr>
          <w:rtl w:val="0"/>
        </w:rPr>
        <w:t xml:space="preserve">State’s Financial Education Program Census: </w:t>
      </w:r>
      <w:hyperlink r:id="rId22">
        <w:r w:rsidDel="00000000" w:rsidR="00000000" w:rsidRPr="00000000">
          <w:rPr>
            <w:color w:val="6b9f25"/>
            <w:u w:val="single"/>
            <w:rtl w:val="0"/>
          </w:rPr>
          <w:t xml:space="preserve">https://nast.org/wp-content/uploads/financialwellness/census/2020nastfinancialwellnesscensus-allstates.pdf</w:t>
        </w:r>
      </w:hyperlink>
      <w:r w:rsidDel="00000000" w:rsidR="00000000" w:rsidRPr="00000000">
        <w:rPr>
          <w:rtl w:val="0"/>
        </w:rPr>
        <w:t xml:space="preserve"> </w:t>
      </w:r>
    </w:p>
    <w:p w:rsidR="00000000" w:rsidDel="00000000" w:rsidP="00000000" w:rsidRDefault="00000000" w:rsidRPr="00000000" w14:paraId="00000028">
      <w:pPr>
        <w:rPr/>
      </w:pPr>
      <w:hyperlink r:id="rId23">
        <w:r w:rsidDel="00000000" w:rsidR="00000000" w:rsidRPr="00000000">
          <w:rPr>
            <w:color w:val="6b9f25"/>
            <w:u w:val="single"/>
            <w:rtl w:val="0"/>
          </w:rPr>
          <w:t xml:space="preserve">CEE Survey of the States</w:t>
        </w:r>
      </w:hyperlink>
      <w:r w:rsidDel="00000000" w:rsidR="00000000" w:rsidRPr="00000000">
        <w:rPr>
          <w:rtl w:val="0"/>
        </w:rPr>
        <w:t xml:space="preserve"> </w:t>
      </w:r>
    </w:p>
    <w:p w:rsidR="00000000" w:rsidDel="00000000" w:rsidP="00000000" w:rsidRDefault="00000000" w:rsidRPr="00000000" w14:paraId="00000029">
      <w:pPr>
        <w:rPr/>
      </w:pPr>
      <w:hyperlink r:id="rId24">
        <w:r w:rsidDel="00000000" w:rsidR="00000000" w:rsidRPr="00000000">
          <w:rPr>
            <w:color w:val="6b9f25"/>
            <w:u w:val="single"/>
            <w:rtl w:val="0"/>
          </w:rPr>
          <w:t xml:space="preserve">2023 National Report Card on HS Financial Literacy</w:t>
        </w:r>
      </w:hyperlink>
      <w:r w:rsidDel="00000000" w:rsidR="00000000" w:rsidRPr="00000000">
        <w:rPr>
          <w:rtl w:val="0"/>
        </w:rPr>
      </w:r>
    </w:p>
    <w:p w:rsidR="00000000" w:rsidDel="00000000" w:rsidP="00000000" w:rsidRDefault="00000000" w:rsidRPr="00000000" w14:paraId="0000002A">
      <w:pPr>
        <w:rPr/>
      </w:pPr>
      <w:r w:rsidDel="00000000" w:rsidR="00000000" w:rsidRPr="00000000">
        <w:rPr>
          <w:color w:val="212121"/>
          <w:rtl w:val="0"/>
        </w:rPr>
        <w:t xml:space="preserve">NGPF has put together a </w:t>
      </w:r>
      <w:hyperlink r:id="rId25">
        <w:r w:rsidDel="00000000" w:rsidR="00000000" w:rsidRPr="00000000">
          <w:rPr>
            <w:color w:val="0078d7"/>
            <w:u w:val="single"/>
            <w:rtl w:val="0"/>
          </w:rPr>
          <w:t xml:space="preserve">compilation of studies</w:t>
        </w:r>
      </w:hyperlink>
      <w:r w:rsidDel="00000000" w:rsidR="00000000" w:rsidRPr="00000000">
        <w:rPr>
          <w:color w:val="212121"/>
          <w:rtl w:val="0"/>
        </w:rPr>
        <w:t xml:space="preserve">, including:</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212121"/>
          <w:sz w:val="20"/>
          <w:szCs w:val="20"/>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"Financial education mandates have positive impacts on student borrowing behaviors across all income groups. States with personal finance graduation requirements have students with a higher incidence of applying for financial aid, a lower incidence of borrowing from private student lenders, a higher incidence of receiving grants and federal aid, and a lower likelihood of carrying credit card balances." - Stoddard, C. and Urban, C. (2018). </w:t>
      </w:r>
      <w:hyperlink r:id="rId26">
        <w:r w:rsidDel="00000000" w:rsidR="00000000" w:rsidRPr="00000000">
          <w:rPr>
            <w:rFonts w:ascii="Calibri" w:cs="Calibri" w:eastAsia="Calibri" w:hAnsi="Calibri"/>
            <w:b w:val="0"/>
            <w:i w:val="0"/>
            <w:smallCaps w:val="0"/>
            <w:strike w:val="0"/>
            <w:color w:val="0078d7"/>
            <w:sz w:val="24"/>
            <w:szCs w:val="24"/>
            <w:u w:val="single"/>
            <w:shd w:fill="auto" w:val="clear"/>
            <w:vertAlign w:val="baseline"/>
            <w:rtl w:val="0"/>
          </w:rPr>
          <w:t xml:space="preserve">The Effects of K-12 Financial Education Mandates on Student Postsecondary Education Outcomes.</w:t>
        </w:r>
      </w:hyperlink>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 NEFE.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212121"/>
          <w:sz w:val="20"/>
          <w:szCs w:val="20"/>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"Young adults who were required to take personal finance courses in high school were significantly less likely to borrow payday loans than their peers who were not. These effects do not significantly differ by race/ethnicity or gender, suggesting that financial education may be useful regardless of demographics.” - Harvey, M. (2019) </w:t>
      </w:r>
      <w:hyperlink r:id="rId27">
        <w:r w:rsidDel="00000000" w:rsidR="00000000" w:rsidRPr="00000000">
          <w:rPr>
            <w:rFonts w:ascii="Calibri" w:cs="Calibri" w:eastAsia="Calibri" w:hAnsi="Calibri"/>
            <w:b w:val="0"/>
            <w:i w:val="0"/>
            <w:smallCaps w:val="0"/>
            <w:strike w:val="0"/>
            <w:color w:val="0078d7"/>
            <w:sz w:val="24"/>
            <w:szCs w:val="24"/>
            <w:u w:val="single"/>
            <w:shd w:fill="auto" w:val="clear"/>
            <w:vertAlign w:val="baseline"/>
            <w:rtl w:val="0"/>
          </w:rPr>
          <w:t xml:space="preserve">Does State-Mandated Financial Education Affect High-Cost Borrowing?</w:t>
        </w:r>
      </w:hyperlink>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 FINRA Foundation.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Calibri" w:cs="Calibri" w:eastAsia="Calibri" w:hAnsi="Calibri"/>
          <w:b w:val="0"/>
          <w:i w:val="0"/>
          <w:smallCaps w:val="0"/>
          <w:strike w:val="0"/>
          <w:color w:val="212121"/>
          <w:sz w:val="20"/>
          <w:szCs w:val="20"/>
          <w:u w:val="none"/>
          <w:shd w:fill="auto" w:val="clear"/>
          <w:vertAlign w:val="baseline"/>
        </w:rPr>
      </w:pPr>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"The evidence shows that financial education programs have, on average, positive causal treatment effects on financial knowledge and downstream financial behaviors. Treatment effects are economically meaningful in size, similar to those realized by educational interventions in other domains and are at least three times as large as the average effect documented in earlier work." - Kaiser, T., Lusardi, A., Menkhoff, L., and Urban, C. </w:t>
      </w:r>
      <w:hyperlink r:id="rId28">
        <w:r w:rsidDel="00000000" w:rsidR="00000000" w:rsidRPr="00000000">
          <w:rPr>
            <w:rFonts w:ascii="Calibri" w:cs="Calibri" w:eastAsia="Calibri" w:hAnsi="Calibri"/>
            <w:b w:val="0"/>
            <w:i w:val="0"/>
            <w:smallCaps w:val="0"/>
            <w:strike w:val="0"/>
            <w:color w:val="0078d7"/>
            <w:sz w:val="24"/>
            <w:szCs w:val="24"/>
            <w:u w:val="single"/>
            <w:shd w:fill="auto" w:val="clear"/>
            <w:vertAlign w:val="baseline"/>
            <w:rtl w:val="0"/>
          </w:rPr>
          <w:t xml:space="preserve">Testing the Effectiveness of Financial Education Across 76 Randomized Experiments.</w:t>
        </w:r>
      </w:hyperlink>
      <w:r w:rsidDel="00000000" w:rsidR="00000000" w:rsidRPr="00000000">
        <w:rPr>
          <w:rFonts w:ascii="Calibri" w:cs="Calibri" w:eastAsia="Calibri" w:hAnsi="Calibri"/>
          <w:b w:val="0"/>
          <w:i w:val="0"/>
          <w:smallCaps w:val="0"/>
          <w:strike w:val="0"/>
          <w:color w:val="212121"/>
          <w:sz w:val="24"/>
          <w:szCs w:val="24"/>
          <w:u w:val="none"/>
          <w:shd w:fill="auto" w:val="clear"/>
          <w:vertAlign w:val="baseline"/>
          <w:rtl w:val="0"/>
        </w:rPr>
        <w:t xml:space="preserve"> FINRA Foundation.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headerReference r:id="rId29" w:type="default"/>
      <w:headerReference r:id="rId30" w:type="first"/>
      <w:footerReference r:id="rId31" w:type="default"/>
      <w:footerReference r:id="rId32" w:type="first"/>
      <w:pgSz w:h="15840" w:w="12240" w:orient="portrait"/>
      <w:pgMar w:bottom="1440" w:top="810" w:left="1080" w:right="1080" w:header="450" w:footer="79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Garamond">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1202 Pennsylvania Ave NW, Ste 800</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Washington, DC 20004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7920.0" w:type="dxa"/>
      <w:jc w:val="left"/>
      <w:tblInd w:w="-14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920"/>
      <w:tblGridChange w:id="0">
        <w:tblGrid>
          <w:gridCol w:w="7920"/>
        </w:tblGrid>
      </w:tblGridChange>
    </w:tblGrid>
    <w:tr>
      <w:trPr>
        <w:cantSplit w:val="0"/>
        <w:trHeight w:val="576" w:hRule="atLeast"/>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7f7f7f"/>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aramond" w:cs="Garamond" w:eastAsia="Garamond" w:hAnsi="Garamond"/>
        <w:b w:val="0"/>
        <w:i w:val="0"/>
        <w:smallCaps w:val="0"/>
        <w:strike w:val="0"/>
        <w:color w:val="7f7f7f"/>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7f7f7f"/>
        <w:sz w:val="20"/>
        <w:szCs w:val="20"/>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883150" cy="9679094"/>
              <wp:effectExtent b="0" l="0" r="0" t="0"/>
              <wp:wrapNone/>
              <wp:docPr id="80" name=""/>
              <a:graphic>
                <a:graphicData uri="http://schemas.microsoft.com/office/word/2010/wordprocessingGroup">
                  <wpg:wgp>
                    <wpg:cNvGrpSpPr/>
                    <wpg:grpSpPr>
                      <a:xfrm>
                        <a:off x="1404425" y="0"/>
                        <a:ext cx="7883150" cy="9679094"/>
                        <a:chOff x="1404425" y="0"/>
                        <a:chExt cx="7883150" cy="7560000"/>
                      </a:xfrm>
                    </wpg:grpSpPr>
                    <wpg:grpSp>
                      <wpg:cNvGrpSpPr/>
                      <wpg:grpSpPr>
                        <a:xfrm>
                          <a:off x="1404425" y="0"/>
                          <a:ext cx="7883150" cy="7560000"/>
                          <a:chOff x="0" y="0"/>
                          <a:chExt cx="7883150" cy="9679094"/>
                        </a:xfrm>
                      </wpg:grpSpPr>
                      <wps:wsp>
                        <wps:cNvSpPr/>
                        <wps:cNvPr id="3" name="Shape 3"/>
                        <wps:spPr>
                          <a:xfrm>
                            <a:off x="0" y="0"/>
                            <a:ext cx="7883150" cy="967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9084734"/>
                            <a:ext cx="7883150" cy="594360"/>
                            <a:chOff x="0" y="0"/>
                            <a:chExt cx="7883150" cy="576956"/>
                          </a:xfrm>
                        </wpg:grpSpPr>
                        <wps:wsp>
                          <wps:cNvSpPr/>
                          <wps:cNvPr id="5" name="Shape 5"/>
                          <wps:spPr>
                            <a:xfrm>
                              <a:off x="4180114" y="0"/>
                              <a:ext cx="3703036" cy="576956"/>
                            </a:xfrm>
                            <a:custGeom>
                              <a:rect b="b" l="l" r="r" t="t"/>
                              <a:pathLst>
                                <a:path extrusionOk="0" h="381000" w="2752725">
                                  <a:moveTo>
                                    <a:pt x="7144" y="7144"/>
                                  </a:moveTo>
                                  <a:lnTo>
                                    <a:pt x="2749391" y="7144"/>
                                  </a:lnTo>
                                  <a:lnTo>
                                    <a:pt x="2749391" y="380524"/>
                                  </a:lnTo>
                                  <a:lnTo>
                                    <a:pt x="7144" y="380524"/>
                                  </a:lnTo>
                                  <a:close/>
                                </a:path>
                              </a:pathLst>
                            </a:custGeom>
                            <a:solidFill>
                              <a:srgbClr val="92CF7C"/>
                            </a:solidFill>
                            <a:ln>
                              <a:noFill/>
                            </a:ln>
                          </wps:spPr>
                          <wps:bodyPr anchorCtr="0" anchor="ctr" bIns="91425" lIns="91425" spcFirstLastPara="1" rIns="91425" wrap="square" tIns="91425">
                            <a:noAutofit/>
                          </wps:bodyPr>
                        </wps:wsp>
                        <wps:wsp>
                          <wps:cNvSpPr/>
                          <wps:cNvPr id="6" name="Shape 6"/>
                          <wps:spPr>
                            <a:xfrm>
                              <a:off x="0" y="0"/>
                              <a:ext cx="3703036" cy="576956"/>
                            </a:xfrm>
                            <a:custGeom>
                              <a:rect b="b" l="l" r="r" t="t"/>
                              <a:pathLst>
                                <a:path extrusionOk="0" h="381000" w="2752725">
                                  <a:moveTo>
                                    <a:pt x="7144" y="7144"/>
                                  </a:moveTo>
                                  <a:lnTo>
                                    <a:pt x="2749391" y="7144"/>
                                  </a:lnTo>
                                  <a:lnTo>
                                    <a:pt x="2749391" y="380524"/>
                                  </a:lnTo>
                                  <a:lnTo>
                                    <a:pt x="7144" y="380524"/>
                                  </a:lnTo>
                                  <a:close/>
                                </a:path>
                              </a:pathLst>
                            </a:custGeom>
                            <a:solidFill>
                              <a:srgbClr val="2A4F1C"/>
                            </a:solidFill>
                            <a:ln>
                              <a:noFill/>
                            </a:ln>
                          </wps:spPr>
                          <wps:bodyPr anchorCtr="0" anchor="ctr" bIns="91425" lIns="91425" spcFirstLastPara="1" rIns="91425" wrap="square" tIns="91425">
                            <a:noAutofit/>
                          </wps:bodyPr>
                        </wps:wsp>
                        <wps:wsp>
                          <wps:cNvSpPr/>
                          <wps:cNvPr id="7" name="Shape 7"/>
                          <wps:spPr>
                            <a:xfrm>
                              <a:off x="2705877" y="0"/>
                              <a:ext cx="3831168" cy="576956"/>
                            </a:xfrm>
                            <a:custGeom>
                              <a:rect b="b" l="l" r="r" t="t"/>
                              <a:pathLst>
                                <a:path extrusionOk="0" h="381000" w="2847975">
                                  <a:moveTo>
                                    <a:pt x="2297906" y="7144"/>
                                  </a:moveTo>
                                  <a:lnTo>
                                    <a:pt x="7144" y="7144"/>
                                  </a:lnTo>
                                  <a:lnTo>
                                    <a:pt x="558641" y="380524"/>
                                  </a:lnTo>
                                  <a:lnTo>
                                    <a:pt x="2849404" y="380524"/>
                                  </a:lnTo>
                                  <a:close/>
                                </a:path>
                              </a:pathLst>
                            </a:custGeom>
                            <a:solidFill>
                              <a:schemeClr val="accent1"/>
                            </a:solidFill>
                            <a:ln>
                              <a:noFill/>
                            </a:ln>
                          </wps:spPr>
                          <wps:bodyPr anchorCtr="0" anchor="ctr" bIns="91425" lIns="91425" spcFirstLastPara="1" rIns="91425" wrap="square" tIns="91425">
                            <a:noAutofit/>
                          </wps:bodyPr>
                        </wps:wsp>
                        <wps:wsp>
                          <wps:cNvSpPr/>
                          <wps:cNvPr id="8" name="Shape 8"/>
                          <wps:spPr>
                            <a:xfrm>
                              <a:off x="2034073" y="0"/>
                              <a:ext cx="2408895" cy="576956"/>
                            </a:xfrm>
                            <a:custGeom>
                              <a:rect b="b" l="l" r="r" t="t"/>
                              <a:pathLst>
                                <a:path extrusionOk="0" h="381000" w="1790700">
                                  <a:moveTo>
                                    <a:pt x="1237774" y="7144"/>
                                  </a:moveTo>
                                  <a:lnTo>
                                    <a:pt x="7144" y="7144"/>
                                  </a:lnTo>
                                  <a:lnTo>
                                    <a:pt x="558641" y="380524"/>
                                  </a:lnTo>
                                  <a:lnTo>
                                    <a:pt x="1789271" y="380524"/>
                                  </a:lnTo>
                                  <a:close/>
                                </a:path>
                              </a:pathLst>
                            </a:custGeom>
                            <a:solidFill>
                              <a:srgbClr val="3F762A"/>
                            </a:solidFill>
                            <a:ln>
                              <a:noFill/>
                            </a:ln>
                          </wps:spPr>
                          <wps:bodyPr anchorCtr="0" anchor="ctr" bIns="91425" lIns="91425" spcFirstLastPara="1" rIns="91425" wrap="square" tIns="91425">
                            <a:noAutofit/>
                          </wps:bodyPr>
                        </wps:wsp>
                      </wpg:grpSp>
                      <wpg:grpSp>
                        <wpg:cNvGrpSpPr/>
                        <wpg:grpSpPr>
                          <a:xfrm>
                            <a:off x="4140200" y="0"/>
                            <a:ext cx="3737711" cy="594360"/>
                            <a:chOff x="0" y="0"/>
                            <a:chExt cx="3737711" cy="727788"/>
                          </a:xfrm>
                        </wpg:grpSpPr>
                        <wps:wsp>
                          <wps:cNvSpPr/>
                          <wps:cNvPr id="10" name="Shape 10"/>
                          <wps:spPr>
                            <a:xfrm>
                              <a:off x="485192" y="0"/>
                              <a:ext cx="3252519" cy="727788"/>
                            </a:xfrm>
                            <a:custGeom>
                              <a:rect b="b" l="l" r="r" t="t"/>
                              <a:pathLst>
                                <a:path extrusionOk="0" h="457200" w="2009775">
                                  <a:moveTo>
                                    <a:pt x="7144" y="7144"/>
                                  </a:moveTo>
                                  <a:lnTo>
                                    <a:pt x="2005489" y="7144"/>
                                  </a:lnTo>
                                  <a:lnTo>
                                    <a:pt x="2005489" y="454819"/>
                                  </a:lnTo>
                                  <a:lnTo>
                                    <a:pt x="7144" y="454819"/>
                                  </a:lnTo>
                                  <a:close/>
                                </a:path>
                              </a:pathLst>
                            </a:custGeom>
                            <a:solidFill>
                              <a:srgbClr val="92CF7C"/>
                            </a:solidFill>
                            <a:ln>
                              <a:noFill/>
                            </a:ln>
                          </wps:spPr>
                          <wps:bodyPr anchorCtr="0" anchor="ctr" bIns="91425" lIns="91425" spcFirstLastPara="1" rIns="91425" wrap="square" tIns="91425">
                            <a:noAutofit/>
                          </wps:bodyPr>
                        </wps:wsp>
                        <wps:wsp>
                          <wps:cNvSpPr/>
                          <wps:cNvPr id="11" name="Shape 11"/>
                          <wps:spPr>
                            <a:xfrm>
                              <a:off x="429209" y="0"/>
                              <a:ext cx="2743831" cy="727788"/>
                            </a:xfrm>
                            <a:custGeom>
                              <a:rect b="b" l="l" r="r" t="t"/>
                              <a:pathLst>
                                <a:path extrusionOk="0" h="457200" w="1695450">
                                  <a:moveTo>
                                    <a:pt x="1400651" y="7144"/>
                                  </a:moveTo>
                                  <a:lnTo>
                                    <a:pt x="7144" y="7144"/>
                                  </a:lnTo>
                                  <a:lnTo>
                                    <a:pt x="295751" y="454819"/>
                                  </a:lnTo>
                                  <a:lnTo>
                                    <a:pt x="1688306" y="454819"/>
                                  </a:lnTo>
                                  <a:close/>
                                </a:path>
                              </a:pathLst>
                            </a:custGeom>
                            <a:solidFill>
                              <a:schemeClr val="accent1"/>
                            </a:solidFill>
                            <a:ln>
                              <a:noFill/>
                            </a:ln>
                          </wps:spPr>
                          <wps:bodyPr anchorCtr="0" anchor="ctr" bIns="91425" lIns="91425" spcFirstLastPara="1" rIns="91425" wrap="square" tIns="91425">
                            <a:noAutofit/>
                          </wps:bodyPr>
                        </wps:wsp>
                        <wps:wsp>
                          <wps:cNvSpPr/>
                          <wps:cNvPr id="12" name="Shape 12"/>
                          <wps:spPr>
                            <a:xfrm>
                              <a:off x="0" y="0"/>
                              <a:ext cx="2728416" cy="727788"/>
                            </a:xfrm>
                            <a:custGeom>
                              <a:rect b="b" l="l" r="r" t="t"/>
                              <a:pathLst>
                                <a:path extrusionOk="0" h="457200" w="1685925">
                                  <a:moveTo>
                                    <a:pt x="1391126" y="7144"/>
                                  </a:moveTo>
                                  <a:lnTo>
                                    <a:pt x="7144" y="7144"/>
                                  </a:lnTo>
                                  <a:lnTo>
                                    <a:pt x="295751" y="454819"/>
                                  </a:lnTo>
                                  <a:lnTo>
                                    <a:pt x="1678781" y="454819"/>
                                  </a:lnTo>
                                  <a:close/>
                                </a:path>
                              </a:pathLst>
                            </a:custGeom>
                            <a:solidFill>
                              <a:srgbClr val="3F762A"/>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7883150" cy="9679094"/>
              <wp:effectExtent b="0" l="0" r="0" t="0"/>
              <wp:wrapNone/>
              <wp:docPr id="80"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883150" cy="967909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40" w:lineRule="auto"/>
    </w:pPr>
    <w:rPr>
      <w:rFonts w:ascii="Calibri" w:cs="Calibri" w:eastAsia="Calibri" w:hAnsi="Calibri"/>
      <w:b w:val="1"/>
      <w:color w:val="455f51"/>
      <w:sz w:val="48"/>
      <w:szCs w:val="48"/>
    </w:rPr>
  </w:style>
  <w:style w:type="paragraph" w:styleId="Heading2">
    <w:name w:val="heading 2"/>
    <w:basedOn w:val="Normal"/>
    <w:next w:val="Normal"/>
    <w:pPr>
      <w:keepNext w:val="1"/>
      <w:keepLines w:val="1"/>
      <w:spacing w:after="480" w:lineRule="auto"/>
    </w:pPr>
    <w:rPr>
      <w:color w:val="455f51"/>
      <w:sz w:val="32"/>
      <w:szCs w:val="32"/>
    </w:rPr>
  </w:style>
  <w:style w:type="paragraph" w:styleId="Heading3">
    <w:name w:val="heading 3"/>
    <w:basedOn w:val="Normal"/>
    <w:next w:val="Normal"/>
    <w:pPr>
      <w:keepNext w:val="1"/>
      <w:keepLines w:val="1"/>
      <w:spacing w:after="0" w:line="240" w:lineRule="auto"/>
    </w:pPr>
    <w:rPr>
      <w:rFonts w:ascii="Calibri" w:cs="Calibri" w:eastAsia="Calibri" w:hAnsi="Calibri"/>
      <w:color w:val="3e762a"/>
      <w:sz w:val="32"/>
      <w:szCs w:val="32"/>
    </w:rPr>
  </w:style>
  <w:style w:type="paragraph" w:styleId="Heading4">
    <w:name w:val="heading 4"/>
    <w:basedOn w:val="Normal"/>
    <w:next w:val="Normal"/>
    <w:pPr>
      <w:keepNext w:val="1"/>
      <w:keepLines w:val="1"/>
      <w:spacing w:after="360" w:line="240" w:lineRule="auto"/>
    </w:pPr>
    <w:rPr>
      <w:color w:val="595959"/>
      <w:sz w:val="32"/>
      <w:szCs w:val="32"/>
    </w:rPr>
  </w:style>
  <w:style w:type="paragraph" w:styleId="Heading5">
    <w:name w:val="heading 5"/>
    <w:basedOn w:val="Normal"/>
    <w:next w:val="Normal"/>
    <w:pPr>
      <w:keepNext w:val="1"/>
      <w:keepLines w:val="1"/>
      <w:spacing w:after="0" w:line="240" w:lineRule="auto"/>
    </w:pPr>
    <w:rPr>
      <w:rFonts w:ascii="Calibri" w:cs="Calibri" w:eastAsia="Calibri" w:hAnsi="Calibri"/>
      <w:b w:val="1"/>
      <w:color w:val="455f51"/>
      <w:sz w:val="28"/>
      <w:szCs w:val="28"/>
    </w:rPr>
  </w:style>
  <w:style w:type="paragraph" w:styleId="Heading6">
    <w:name w:val="heading 6"/>
    <w:basedOn w:val="Normal"/>
    <w:next w:val="Normal"/>
    <w:pPr>
      <w:keepNext w:val="1"/>
      <w:keepLines w:val="1"/>
      <w:spacing w:line="240" w:lineRule="auto"/>
    </w:pPr>
    <w:rPr>
      <w:color w:val="3e762a"/>
      <w:sz w:val="28"/>
      <w:szCs w:val="2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6079"/>
  </w:style>
  <w:style w:type="paragraph" w:styleId="Heading1">
    <w:name w:val="heading 1"/>
    <w:basedOn w:val="Normal"/>
    <w:next w:val="Normal"/>
    <w:link w:val="Heading1Char"/>
    <w:uiPriority w:val="9"/>
    <w:qFormat w:val="1"/>
    <w:rsid w:val="00293C4A"/>
    <w:pPr>
      <w:keepNext w:val="1"/>
      <w:keepLines w:val="1"/>
      <w:spacing w:after="0" w:before="480" w:line="240" w:lineRule="auto"/>
      <w:outlineLvl w:val="0"/>
    </w:pPr>
    <w:rPr>
      <w:rFonts w:asciiTheme="majorHAnsi" w:cstheme="majorBidi" w:eastAsiaTheme="majorEastAsia" w:hAnsiTheme="majorHAnsi"/>
      <w:b w:val="1"/>
      <w:noProof w:val="1"/>
      <w:color w:val="455f51" w:themeColor="text2"/>
      <w:sz w:val="48"/>
      <w:szCs w:val="32"/>
    </w:rPr>
  </w:style>
  <w:style w:type="paragraph" w:styleId="Heading2">
    <w:name w:val="heading 2"/>
    <w:basedOn w:val="Normal"/>
    <w:next w:val="Normal"/>
    <w:link w:val="Heading2Char"/>
    <w:uiPriority w:val="9"/>
    <w:qFormat w:val="1"/>
    <w:rsid w:val="00232314"/>
    <w:pPr>
      <w:keepNext w:val="1"/>
      <w:keepLines w:val="1"/>
      <w:spacing w:after="480"/>
      <w:outlineLvl w:val="1"/>
    </w:pPr>
    <w:rPr>
      <w:rFonts w:cstheme="majorBidi"/>
      <w:color w:val="455f51" w:themeColor="text2"/>
      <w:sz w:val="32"/>
      <w:szCs w:val="22"/>
    </w:rPr>
  </w:style>
  <w:style w:type="paragraph" w:styleId="Heading3">
    <w:name w:val="heading 3"/>
    <w:basedOn w:val="Normal"/>
    <w:next w:val="Normal"/>
    <w:link w:val="Heading3Char"/>
    <w:uiPriority w:val="9"/>
    <w:semiHidden w:val="1"/>
    <w:qFormat w:val="1"/>
    <w:pPr>
      <w:keepNext w:val="1"/>
      <w:keepLines w:val="1"/>
      <w:spacing w:after="0" w:line="240" w:lineRule="auto"/>
      <w:outlineLvl w:val="2"/>
    </w:pPr>
    <w:rPr>
      <w:rFonts w:asciiTheme="majorHAnsi" w:cstheme="majorBidi" w:eastAsiaTheme="majorEastAsia" w:hAnsiTheme="majorHAnsi"/>
      <w:color w:val="3e762a" w:themeColor="accent1" w:themeShade="0000BF"/>
      <w:sz w:val="32"/>
    </w:rPr>
  </w:style>
  <w:style w:type="paragraph" w:styleId="Heading4">
    <w:name w:val="heading 4"/>
    <w:basedOn w:val="Normal"/>
    <w:next w:val="Normal"/>
    <w:link w:val="Heading4Char"/>
    <w:uiPriority w:val="9"/>
    <w:semiHidden w:val="1"/>
    <w:qFormat w:val="1"/>
    <w:pPr>
      <w:keepNext w:val="1"/>
      <w:keepLines w:val="1"/>
      <w:spacing w:after="360" w:line="240" w:lineRule="auto"/>
      <w:outlineLvl w:val="3"/>
    </w:pPr>
    <w:rPr>
      <w:rFonts w:cstheme="majorBidi"/>
      <w:iCs w:val="1"/>
      <w:color w:val="595959" w:themeColor="text1" w:themeTint="0000A6"/>
      <w:sz w:val="32"/>
    </w:rPr>
  </w:style>
  <w:style w:type="paragraph" w:styleId="Heading5">
    <w:name w:val="heading 5"/>
    <w:basedOn w:val="Normal"/>
    <w:next w:val="Normal"/>
    <w:link w:val="Heading5Char"/>
    <w:uiPriority w:val="9"/>
    <w:semiHidden w:val="1"/>
    <w:qFormat w:val="1"/>
    <w:pPr>
      <w:keepNext w:val="1"/>
      <w:keepLines w:val="1"/>
      <w:spacing w:after="0" w:line="240" w:lineRule="auto"/>
      <w:outlineLvl w:val="4"/>
    </w:pPr>
    <w:rPr>
      <w:rFonts w:asciiTheme="majorHAnsi" w:cstheme="majorBidi" w:eastAsiaTheme="majorEastAsia" w:hAnsiTheme="majorHAnsi"/>
      <w:b w:val="1"/>
      <w:color w:val="455f51" w:themeColor="text2"/>
      <w:sz w:val="28"/>
    </w:rPr>
  </w:style>
  <w:style w:type="paragraph" w:styleId="Heading6">
    <w:name w:val="heading 6"/>
    <w:basedOn w:val="Normal"/>
    <w:next w:val="Normal"/>
    <w:link w:val="Heading6Char"/>
    <w:uiPriority w:val="9"/>
    <w:semiHidden w:val="1"/>
    <w:qFormat w:val="1"/>
    <w:pPr>
      <w:keepNext w:val="1"/>
      <w:keepLines w:val="1"/>
      <w:spacing w:line="240" w:lineRule="auto"/>
      <w:outlineLvl w:val="5"/>
    </w:pPr>
    <w:rPr>
      <w:rFonts w:cstheme="majorBidi"/>
      <w:color w:val="3e762a" w:themeColor="accent1" w:themeShade="0000BF"/>
      <w:sz w:val="28"/>
    </w:rPr>
  </w:style>
  <w:style w:type="paragraph" w:styleId="Heading7">
    <w:name w:val="heading 7"/>
    <w:basedOn w:val="Normal"/>
    <w:next w:val="Normal"/>
    <w:link w:val="Heading7Char"/>
    <w:uiPriority w:val="9"/>
    <w:semiHidden w:val="1"/>
    <w:qFormat w:val="1"/>
    <w:pPr>
      <w:keepNext w:val="1"/>
      <w:keepLines w:val="1"/>
      <w:spacing w:after="0" w:line="240" w:lineRule="auto"/>
      <w:outlineLvl w:val="6"/>
    </w:pPr>
    <w:rPr>
      <w:rFonts w:asciiTheme="majorHAnsi" w:cstheme="majorBidi" w:eastAsiaTheme="majorEastAsia" w:hAnsiTheme="majorHAnsi"/>
      <w:b w:val="1"/>
      <w:iCs w:val="1"/>
      <w:color w:val="455f51" w:themeColor="text2"/>
    </w:rPr>
  </w:style>
  <w:style w:type="paragraph" w:styleId="Heading8">
    <w:name w:val="heading 8"/>
    <w:basedOn w:val="Normal"/>
    <w:next w:val="Normal"/>
    <w:link w:val="Heading8Char"/>
    <w:uiPriority w:val="9"/>
    <w:semiHidden w:val="1"/>
    <w:qFormat w:val="1"/>
    <w:pPr>
      <w:keepNext w:val="1"/>
      <w:keepLines w:val="1"/>
      <w:spacing w:after="0" w:line="240" w:lineRule="auto"/>
      <w:outlineLvl w:val="7"/>
    </w:pPr>
    <w:rPr>
      <w:rFonts w:asciiTheme="majorHAnsi" w:cstheme="majorBidi" w:eastAsiaTheme="majorEastAsia" w:hAnsiTheme="majorHAnsi"/>
      <w:color w:val="272727" w:themeColor="text1" w:themeTint="0000D8"/>
      <w:sz w:val="22"/>
      <w:szCs w:val="21"/>
    </w:rPr>
  </w:style>
  <w:style w:type="paragraph" w:styleId="Heading9">
    <w:name w:val="heading 9"/>
    <w:basedOn w:val="Normal"/>
    <w:next w:val="Normal"/>
    <w:link w:val="Heading9Char"/>
    <w:uiPriority w:val="9"/>
    <w:semiHidden w:val="1"/>
    <w:qFormat w:val="1"/>
    <w:pPr>
      <w:keepNext w:val="1"/>
      <w:keepLines w:val="1"/>
      <w:spacing w:after="0" w:line="240" w:lineRule="auto"/>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BookTitle">
    <w:name w:val="Book Title"/>
    <w:basedOn w:val="DefaultParagraphFont"/>
    <w:uiPriority w:val="33"/>
    <w:semiHidden w:val="1"/>
    <w:unhideWhenUsed w:val="1"/>
    <w:qFormat w:val="1"/>
    <w:rPr>
      <w:b w:val="1"/>
      <w:bCs w:val="1"/>
      <w:i w:val="1"/>
      <w:iCs w:val="1"/>
      <w:spacing w:val="0"/>
    </w:rPr>
  </w:style>
  <w:style w:type="character" w:styleId="IntenseReference">
    <w:name w:val="Intense Reference"/>
    <w:basedOn w:val="DefaultParagraphFont"/>
    <w:uiPriority w:val="32"/>
    <w:semiHidden w:val="1"/>
    <w:unhideWhenUsed w:val="1"/>
    <w:qFormat w:val="1"/>
    <w:rPr>
      <w:b w:val="1"/>
      <w:bCs w:val="1"/>
      <w:caps w:val="0"/>
      <w:smallCaps w:val="1"/>
      <w:color w:val="3e762a" w:themeColor="accent1" w:themeShade="0000BF"/>
      <w:spacing w:val="0"/>
    </w:rPr>
  </w:style>
  <w:style w:type="paragraph" w:styleId="ContactInfo" w:customStyle="1">
    <w:name w:val="Contact Info"/>
    <w:basedOn w:val="Normal"/>
    <w:uiPriority w:val="10"/>
    <w:qFormat w:val="1"/>
    <w:rsid w:val="00232314"/>
    <w:pPr>
      <w:spacing w:after="360" w:before="360" w:line="360" w:lineRule="auto"/>
      <w:contextualSpacing w:val="1"/>
    </w:pPr>
    <w:rPr>
      <w:sz w:val="28"/>
      <w:szCs w:val="28"/>
      <w:lang w:eastAsia="en-US"/>
    </w:rPr>
  </w:style>
  <w:style w:type="paragraph" w:styleId="Date">
    <w:name w:val="Date"/>
    <w:basedOn w:val="Normal"/>
    <w:next w:val="Normal"/>
    <w:link w:val="DateChar"/>
    <w:uiPriority w:val="2"/>
    <w:semiHidden w:val="1"/>
    <w:unhideWhenUsed w:val="1"/>
    <w:qFormat w:val="1"/>
    <w:pPr>
      <w:spacing w:after="360" w:before="540" w:line="240" w:lineRule="auto"/>
    </w:pPr>
    <w:rPr>
      <w:color w:val="549e39" w:themeColor="accent1"/>
      <w:sz w:val="22"/>
    </w:rPr>
  </w:style>
  <w:style w:type="character" w:styleId="DateChar" w:customStyle="1">
    <w:name w:val="Date Char"/>
    <w:basedOn w:val="DefaultParagraphFont"/>
    <w:link w:val="Date"/>
    <w:uiPriority w:val="2"/>
    <w:semiHidden w:val="1"/>
    <w:rPr>
      <w:color w:val="549e39" w:themeColor="accent1"/>
      <w:sz w:val="22"/>
    </w:rPr>
  </w:style>
  <w:style w:type="paragraph" w:styleId="Salutation">
    <w:name w:val="Salutation"/>
    <w:basedOn w:val="Normal"/>
    <w:next w:val="Normal"/>
    <w:link w:val="SalutationChar"/>
    <w:uiPriority w:val="4"/>
    <w:semiHidden w:val="1"/>
    <w:unhideWhenUsed w:val="1"/>
    <w:qFormat w:val="1"/>
    <w:pPr>
      <w:spacing w:after="580" w:before="800" w:line="240" w:lineRule="auto"/>
    </w:pPr>
  </w:style>
  <w:style w:type="character" w:styleId="SalutationChar" w:customStyle="1">
    <w:name w:val="Salutation Char"/>
    <w:basedOn w:val="DefaultParagraphFont"/>
    <w:link w:val="Salutation"/>
    <w:uiPriority w:val="4"/>
    <w:semiHidden w:val="1"/>
  </w:style>
  <w:style w:type="paragraph" w:styleId="Closing">
    <w:name w:val="Closing"/>
    <w:basedOn w:val="Normal"/>
    <w:link w:val="ClosingChar"/>
    <w:uiPriority w:val="5"/>
    <w:semiHidden w:val="1"/>
    <w:unhideWhenUsed w:val="1"/>
    <w:qFormat w:val="1"/>
    <w:pPr>
      <w:spacing w:after="0" w:before="720" w:line="240" w:lineRule="auto"/>
    </w:pPr>
  </w:style>
  <w:style w:type="character" w:styleId="ClosingChar" w:customStyle="1">
    <w:name w:val="Closing Char"/>
    <w:basedOn w:val="DefaultParagraphFont"/>
    <w:link w:val="Closing"/>
    <w:uiPriority w:val="5"/>
    <w:semiHidden w:val="1"/>
  </w:style>
  <w:style w:type="paragraph" w:styleId="Signature">
    <w:name w:val="Signature"/>
    <w:basedOn w:val="Normal"/>
    <w:link w:val="SignatureChar"/>
    <w:uiPriority w:val="6"/>
    <w:semiHidden w:val="1"/>
    <w:unhideWhenUsed w:val="1"/>
    <w:qFormat w:val="1"/>
    <w:pPr>
      <w:spacing w:after="280" w:before="720" w:line="240" w:lineRule="auto"/>
    </w:pPr>
  </w:style>
  <w:style w:type="character" w:styleId="PlaceholderText">
    <w:name w:val="Placeholder Text"/>
    <w:basedOn w:val="DefaultParagraphFont"/>
    <w:uiPriority w:val="99"/>
    <w:semiHidden w:val="1"/>
    <w:rPr>
      <w:color w:val="808080"/>
    </w:rPr>
  </w:style>
  <w:style w:type="paragraph" w:styleId="Header">
    <w:name w:val="header"/>
    <w:basedOn w:val="Normal"/>
    <w:link w:val="HeaderChar"/>
    <w:uiPriority w:val="99"/>
    <w:semiHidden w:val="1"/>
    <w:pPr>
      <w:spacing w:after="0" w:line="240" w:lineRule="auto"/>
    </w:pPr>
    <w:rPr>
      <w:rFonts w:ascii="Garamond" w:hAnsi="Garamond"/>
      <w:color w:val="7f7f7f" w:themeColor="text1" w:themeTint="000080"/>
      <w:sz w:val="20"/>
    </w:rPr>
  </w:style>
  <w:style w:type="paragraph" w:styleId="CompanyName" w:customStyle="1">
    <w:name w:val="Company Name"/>
    <w:basedOn w:val="Normal"/>
    <w:next w:val="Normal"/>
    <w:uiPriority w:val="2"/>
    <w:semiHidden w:val="1"/>
    <w:qFormat w:val="1"/>
    <w:pPr>
      <w:spacing w:after="120" w:line="240" w:lineRule="auto"/>
    </w:pPr>
    <w:rPr>
      <w:rFonts w:ascii="Garamond" w:hAnsi="Garamond"/>
      <w:color w:val="3e762a" w:themeColor="accent1" w:themeShade="0000BF"/>
      <w:sz w:val="56"/>
    </w:rPr>
  </w:style>
  <w:style w:type="character" w:styleId="HeaderChar" w:customStyle="1">
    <w:name w:val="Header Char"/>
    <w:basedOn w:val="DefaultParagraphFont"/>
    <w:link w:val="Header"/>
    <w:uiPriority w:val="99"/>
    <w:semiHidden w:val="1"/>
    <w:rsid w:val="00DC6079"/>
    <w:rPr>
      <w:rFonts w:ascii="Garamond" w:hAnsi="Garamond"/>
      <w:color w:val="7f7f7f" w:themeColor="text1" w:themeTint="000080"/>
      <w:sz w:val="20"/>
    </w:rPr>
  </w:style>
  <w:style w:type="paragraph" w:styleId="Footer">
    <w:name w:val="footer"/>
    <w:basedOn w:val="Normal"/>
    <w:link w:val="FooterChar"/>
    <w:uiPriority w:val="99"/>
    <w:rsid w:val="00293C4A"/>
    <w:pPr>
      <w:spacing w:after="360" w:line="240" w:lineRule="auto"/>
      <w:contextualSpacing w:val="1"/>
      <w:jc w:val="center"/>
    </w:pPr>
    <w:rPr>
      <w:color w:val="000000" w:themeColor="text1"/>
    </w:rPr>
  </w:style>
  <w:style w:type="character" w:styleId="FooterChar" w:customStyle="1">
    <w:name w:val="Footer Char"/>
    <w:basedOn w:val="DefaultParagraphFont"/>
    <w:link w:val="Footer"/>
    <w:uiPriority w:val="99"/>
    <w:rsid w:val="00293C4A"/>
    <w:rPr>
      <w:color w:val="000000" w:themeColor="text1"/>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mphasis">
    <w:name w:val="Emphasis"/>
    <w:basedOn w:val="DefaultParagraphFont"/>
    <w:uiPriority w:val="20"/>
    <w:semiHidden w:val="1"/>
    <w:qFormat w:val="1"/>
    <w:rPr>
      <w:b w:val="0"/>
      <w:i w:val="0"/>
      <w:iCs w:val="1"/>
      <w:color w:val="000000" w:themeColor="text1"/>
    </w:rPr>
  </w:style>
  <w:style w:type="character" w:styleId="SignatureChar" w:customStyle="1">
    <w:name w:val="Signature Char"/>
    <w:basedOn w:val="DefaultParagraphFont"/>
    <w:link w:val="Signature"/>
    <w:uiPriority w:val="6"/>
    <w:semiHidden w:val="1"/>
  </w:style>
  <w:style w:type="character" w:styleId="Heading1Char" w:customStyle="1">
    <w:name w:val="Heading 1 Char"/>
    <w:basedOn w:val="DefaultParagraphFont"/>
    <w:link w:val="Heading1"/>
    <w:uiPriority w:val="9"/>
    <w:rsid w:val="00293C4A"/>
    <w:rPr>
      <w:rFonts w:asciiTheme="majorHAnsi" w:cstheme="majorBidi" w:eastAsiaTheme="majorEastAsia" w:hAnsiTheme="majorHAnsi"/>
      <w:b w:val="1"/>
      <w:noProof w:val="1"/>
      <w:color w:val="455f51" w:themeColor="text2"/>
      <w:sz w:val="48"/>
      <w:szCs w:val="32"/>
    </w:rPr>
  </w:style>
  <w:style w:type="character" w:styleId="Heading2Char" w:customStyle="1">
    <w:name w:val="Heading 2 Char"/>
    <w:basedOn w:val="DefaultParagraphFont"/>
    <w:link w:val="Heading2"/>
    <w:uiPriority w:val="9"/>
    <w:rsid w:val="00DC6079"/>
    <w:rPr>
      <w:rFonts w:cstheme="majorBidi"/>
      <w:color w:val="455f51" w:themeColor="text2"/>
      <w:sz w:val="32"/>
      <w:szCs w:val="22"/>
    </w:rPr>
  </w:style>
  <w:style w:type="character" w:styleId="Heading3Char" w:customStyle="1">
    <w:name w:val="Heading 3 Char"/>
    <w:basedOn w:val="DefaultParagraphFont"/>
    <w:link w:val="Heading3"/>
    <w:uiPriority w:val="9"/>
    <w:semiHidden w:val="1"/>
    <w:rsid w:val="00DC6079"/>
    <w:rPr>
      <w:rFonts w:asciiTheme="majorHAnsi" w:cstheme="majorBidi" w:eastAsiaTheme="majorEastAsia" w:hAnsiTheme="majorHAnsi"/>
      <w:color w:val="3e762a" w:themeColor="accent1" w:themeShade="0000BF"/>
      <w:sz w:val="32"/>
    </w:rPr>
  </w:style>
  <w:style w:type="character" w:styleId="Heading4Char" w:customStyle="1">
    <w:name w:val="Heading 4 Char"/>
    <w:basedOn w:val="DefaultParagraphFont"/>
    <w:link w:val="Heading4"/>
    <w:uiPriority w:val="9"/>
    <w:semiHidden w:val="1"/>
    <w:rsid w:val="00DC6079"/>
    <w:rPr>
      <w:rFonts w:cstheme="majorBidi"/>
      <w:iCs w:val="1"/>
      <w:color w:val="595959" w:themeColor="text1" w:themeTint="0000A6"/>
      <w:sz w:val="32"/>
    </w:rPr>
  </w:style>
  <w:style w:type="character" w:styleId="Heading5Char" w:customStyle="1">
    <w:name w:val="Heading 5 Char"/>
    <w:basedOn w:val="DefaultParagraphFont"/>
    <w:link w:val="Heading5"/>
    <w:uiPriority w:val="9"/>
    <w:semiHidden w:val="1"/>
    <w:rsid w:val="00DC6079"/>
    <w:rPr>
      <w:rFonts w:asciiTheme="majorHAnsi" w:cstheme="majorBidi" w:eastAsiaTheme="majorEastAsia" w:hAnsiTheme="majorHAnsi"/>
      <w:b w:val="1"/>
      <w:color w:val="455f51" w:themeColor="text2"/>
      <w:sz w:val="28"/>
    </w:rPr>
  </w:style>
  <w:style w:type="character" w:styleId="Heading6Char" w:customStyle="1">
    <w:name w:val="Heading 6 Char"/>
    <w:basedOn w:val="DefaultParagraphFont"/>
    <w:link w:val="Heading6"/>
    <w:uiPriority w:val="9"/>
    <w:semiHidden w:val="1"/>
    <w:rsid w:val="00DC6079"/>
    <w:rPr>
      <w:rFonts w:cstheme="majorBidi"/>
      <w:color w:val="3e762a" w:themeColor="accent1" w:themeShade="0000BF"/>
      <w:sz w:val="28"/>
    </w:rPr>
  </w:style>
  <w:style w:type="character" w:styleId="Heading7Char" w:customStyle="1">
    <w:name w:val="Heading 7 Char"/>
    <w:basedOn w:val="DefaultParagraphFont"/>
    <w:link w:val="Heading7"/>
    <w:uiPriority w:val="9"/>
    <w:semiHidden w:val="1"/>
    <w:rsid w:val="00DC6079"/>
    <w:rPr>
      <w:rFonts w:asciiTheme="majorHAnsi" w:cstheme="majorBidi" w:eastAsiaTheme="majorEastAsia" w:hAnsiTheme="majorHAnsi"/>
      <w:b w:val="1"/>
      <w:iCs w:val="1"/>
      <w:color w:val="455f51" w:themeColor="text2"/>
    </w:rPr>
  </w:style>
  <w:style w:type="character" w:styleId="Heading8Char" w:customStyle="1">
    <w:name w:val="Heading 8 Char"/>
    <w:basedOn w:val="DefaultParagraphFont"/>
    <w:link w:val="Heading8"/>
    <w:uiPriority w:val="9"/>
    <w:semiHidden w:val="1"/>
    <w:rsid w:val="00DC6079"/>
    <w:rPr>
      <w:rFonts w:asciiTheme="majorHAnsi" w:cstheme="majorBidi" w:eastAsiaTheme="majorEastAsia" w:hAnsiTheme="majorHAnsi"/>
      <w:color w:val="272727" w:themeColor="text1" w:themeTint="0000D8"/>
      <w:sz w:val="22"/>
      <w:szCs w:val="21"/>
    </w:rPr>
  </w:style>
  <w:style w:type="paragraph" w:styleId="TOCHeading">
    <w:name w:val="TOC Heading"/>
    <w:basedOn w:val="Heading1"/>
    <w:next w:val="Normal"/>
    <w:uiPriority w:val="39"/>
    <w:semiHidden w:val="1"/>
    <w:unhideWhenUsed w:val="1"/>
    <w:qFormat w:val="1"/>
    <w:pPr>
      <w:outlineLvl w:val="9"/>
    </w:pPr>
  </w:style>
  <w:style w:type="character" w:styleId="Heading9Char" w:customStyle="1">
    <w:name w:val="Heading 9 Char"/>
    <w:basedOn w:val="DefaultParagraphFont"/>
    <w:link w:val="Heading9"/>
    <w:uiPriority w:val="9"/>
    <w:semiHidden w:val="1"/>
    <w:rsid w:val="00DC6079"/>
    <w:rPr>
      <w:rFonts w:asciiTheme="majorHAnsi" w:cstheme="majorBidi" w:eastAsiaTheme="majorEastAsia" w:hAnsiTheme="majorHAnsi"/>
      <w:i w:val="1"/>
      <w:iCs w:val="1"/>
      <w:color w:val="272727" w:themeColor="text1" w:themeTint="0000D8"/>
      <w:sz w:val="21"/>
      <w:szCs w:val="21"/>
    </w:rPr>
  </w:style>
  <w:style w:type="paragraph" w:styleId="Quote">
    <w:name w:val="Quote"/>
    <w:basedOn w:val="Normal"/>
    <w:next w:val="Normal"/>
    <w:link w:val="QuoteChar"/>
    <w:uiPriority w:val="29"/>
    <w:semiHidden w:val="1"/>
    <w:unhideWhenUsed w:val="1"/>
    <w:qFormat w:val="1"/>
    <w:pPr>
      <w:spacing w:before="240"/>
    </w:pPr>
    <w:rPr>
      <w:i w:val="1"/>
      <w:iCs w:val="1"/>
      <w:color w:val="404040" w:themeColor="text1" w:themeTint="0000BF"/>
    </w:rPr>
  </w:style>
  <w:style w:type="character" w:styleId="QuoteChar" w:customStyle="1">
    <w:name w:val="Quote Char"/>
    <w:basedOn w:val="DefaultParagraphFont"/>
    <w:link w:val="Quote"/>
    <w:uiPriority w:val="29"/>
    <w:semiHidden w:val="1"/>
    <w:rPr>
      <w:i w:val="1"/>
      <w:iCs w:val="1"/>
      <w:color w:val="404040" w:themeColor="text1" w:themeTint="0000BF"/>
    </w:rPr>
  </w:style>
  <w:style w:type="paragraph" w:styleId="IntenseQuote">
    <w:name w:val="Intense Quote"/>
    <w:basedOn w:val="Normal"/>
    <w:next w:val="Normal"/>
    <w:link w:val="IntenseQuoteChar"/>
    <w:uiPriority w:val="30"/>
    <w:semiHidden w:val="1"/>
    <w:unhideWhenUsed w:val="1"/>
    <w:qFormat w:val="1"/>
    <w:pPr>
      <w:pBdr>
        <w:top w:color="3e762a" w:space="10" w:sz="4" w:themeColor="accent1" w:themeShade="0000BF" w:val="single"/>
        <w:bottom w:color="3e762a" w:space="10" w:sz="4" w:themeColor="accent1" w:themeShade="0000BF" w:val="single"/>
      </w:pBdr>
      <w:spacing w:after="360" w:before="360"/>
    </w:pPr>
    <w:rPr>
      <w:i w:val="1"/>
      <w:iCs w:val="1"/>
      <w:color w:val="3e762a" w:themeColor="accent1" w:themeShade="0000BF"/>
    </w:rPr>
  </w:style>
  <w:style w:type="character" w:styleId="IntenseQuoteChar" w:customStyle="1">
    <w:name w:val="Intense Quote Char"/>
    <w:basedOn w:val="DefaultParagraphFont"/>
    <w:link w:val="IntenseQuote"/>
    <w:uiPriority w:val="30"/>
    <w:semiHidden w:val="1"/>
    <w:rPr>
      <w:i w:val="1"/>
      <w:iCs w:val="1"/>
      <w:color w:val="3e762a" w:themeColor="accent1" w:themeShade="0000BF"/>
    </w:rPr>
  </w:style>
  <w:style w:type="paragraph" w:styleId="BalloonText">
    <w:name w:val="Balloon Text"/>
    <w:basedOn w:val="Normal"/>
    <w:link w:val="BalloonTextChar"/>
    <w:uiPriority w:val="99"/>
    <w:semiHidden w:val="1"/>
    <w:unhideWhenUsed w:val="1"/>
    <w:rsid w:val="00B83B3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83B39"/>
    <w:rPr>
      <w:rFonts w:ascii="Segoe UI" w:cs="Segoe UI" w:hAnsi="Segoe UI"/>
      <w:sz w:val="18"/>
      <w:szCs w:val="18"/>
    </w:rPr>
  </w:style>
  <w:style w:type="character" w:styleId="Hyperlink">
    <w:name w:val="Hyperlink"/>
    <w:basedOn w:val="DefaultParagraphFont"/>
    <w:uiPriority w:val="99"/>
    <w:unhideWhenUsed w:val="1"/>
    <w:rsid w:val="004360ED"/>
    <w:rPr>
      <w:color w:val="6b9f25" w:themeColor="hyperlink"/>
      <w:u w:val="single"/>
    </w:rPr>
  </w:style>
  <w:style w:type="character" w:styleId="FollowedHyperlink">
    <w:name w:val="FollowedHyperlink"/>
    <w:basedOn w:val="DefaultParagraphFont"/>
    <w:uiPriority w:val="99"/>
    <w:semiHidden w:val="1"/>
    <w:unhideWhenUsed w:val="1"/>
    <w:rsid w:val="004360ED"/>
    <w:rPr>
      <w:color w:val="ba6906" w:themeColor="followedHyperlink"/>
      <w:u w:val="single"/>
    </w:rPr>
  </w:style>
  <w:style w:type="character" w:styleId="UnresolvedMention">
    <w:name w:val="Unresolved Mention"/>
    <w:basedOn w:val="DefaultParagraphFont"/>
    <w:uiPriority w:val="99"/>
    <w:semiHidden w:val="1"/>
    <w:unhideWhenUsed w:val="1"/>
    <w:rsid w:val="004360ED"/>
    <w:rPr>
      <w:color w:val="605e5c"/>
      <w:shd w:color="auto" w:fill="e1dfdd" w:val="clear"/>
    </w:rPr>
  </w:style>
  <w:style w:type="paragraph" w:styleId="ListParagraph">
    <w:name w:val="List Paragraph"/>
    <w:basedOn w:val="Normal"/>
    <w:uiPriority w:val="34"/>
    <w:qFormat w:val="1"/>
    <w:rsid w:val="00BF5C72"/>
    <w:pPr>
      <w:spacing w:after="100" w:afterAutospacing="1" w:before="100" w:beforeAutospacing="1" w:line="240" w:lineRule="auto"/>
    </w:pPr>
    <w:rPr>
      <w:rFonts w:ascii="Times New Roman" w:cs="Times New Roman" w:eastAsia="Times New Roman" w:hAnsi="Times New Roman"/>
      <w:lang w:eastAsia="en-US"/>
    </w:rPr>
  </w:style>
  <w:style w:type="character" w:styleId="apple-converted-space" w:customStyle="1">
    <w:name w:val="apple-converted-space"/>
    <w:basedOn w:val="DefaultParagraphFont"/>
    <w:rsid w:val="00BF5C72"/>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88.0" w:type="dxa"/>
        <w:left w:w="144.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flec.org/initiatives/sp-global-finlit-survey/" TargetMode="External"/><Relationship Id="rId22" Type="http://schemas.openxmlformats.org/officeDocument/2006/relationships/hyperlink" Target="https://nast.org/wp-content/uploads/financialwellness/census/2020nastfinancialwellnesscensus-allstates.pdf" TargetMode="External"/><Relationship Id="rId21" Type="http://schemas.openxmlformats.org/officeDocument/2006/relationships/hyperlink" Target="https://nast.org/financialwellness/" TargetMode="External"/><Relationship Id="rId24" Type="http://schemas.openxmlformats.org/officeDocument/2006/relationships/hyperlink" Target="https://financialliteracy.champlain.edu/report-cards/2023-national-report-card-on-high-school-financial-literacy/" TargetMode="External"/><Relationship Id="rId23" Type="http://schemas.openxmlformats.org/officeDocument/2006/relationships/hyperlink" Target="https://www.councilforeconed.org/" TargetMode="External"/><Relationship Id="rId1" Type="http://schemas.openxmlformats.org/officeDocument/2006/relationships/image" Target="media/image1.pn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Catherine@statetreasurers.org" TargetMode="External"/><Relationship Id="rId26" Type="http://schemas.openxmlformats.org/officeDocument/2006/relationships/hyperlink" Target="https://urldefense.com/v3/__https:/www.nefe.org/_images/research/Effects-of-K-12-Financial-Education-Mandates/Effect-State-Mandated-Fin-Ed-June25-2018.pdf__;!!PRtDf9A!o69E3sFTOHPoEqCSPpqH6NKCt3J1k2odOSRuZWShIO8uN4Ua9m1gKWVwl6IIk28EmXRCtK-S6eIwYdl3t2GsMg$" TargetMode="External"/><Relationship Id="rId25" Type="http://schemas.openxmlformats.org/officeDocument/2006/relationships/hyperlink" Target="https://urldefense.com/v3/__https:/docs.google.com/document/d/1avNZ_8wRv14CItaUCtLlGgrmz5I4R2WB7enQEyuCel4/edit?usp=sharing__;!!PRtDf9A!o69E3sFTOHPoEqCSPpqH6NKCt3J1k2odOSRuZWShIO8uN4Ua9m1gKWVwl6IIk28EmXRCtK-S6eIwYdkgXGRiYA$" TargetMode="External"/><Relationship Id="rId28" Type="http://schemas.openxmlformats.org/officeDocument/2006/relationships/hyperlink" Target="https://urldefense.com/v3/__https:/www.finrafoundation.org/sites/finrafoundation/files/Financial-Education-Matters-Testing-Effectiveness-Financial-Education_1.pdf__;!!PRtDf9A!o69E3sFTOHPoEqCSPpqH6NKCt3J1k2odOSRuZWShIO8uN4Ua9m1gKWVwl6IIk28EmXRCtK-S6eIwYdk0gTPLHw$" TargetMode="External"/><Relationship Id="rId27" Type="http://schemas.openxmlformats.org/officeDocument/2006/relationships/hyperlink" Target="https://urldefense.com/v3/__https:/www.finrafoundation.org/sites/finrafoundation/files/Does-State-Mandated-Financial-Education-Affect-High-Cost-Borrowing_0_0_0.pdf__;!!PRtDf9A!o69E3sFTOHPoEqCSPpqH6NKCt3J1k2odOSRuZWShIO8uN4Ua9m1gKWVwl6IIk28EmXRCtK-S6eIwYdmXV1RL-w$"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image" Target="media/image3.png"/><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nast.org/wp-content/uploads/financialwellness/speakers/worksheet.pdf" TargetMode="External"/><Relationship Id="rId10" Type="http://schemas.openxmlformats.org/officeDocument/2006/relationships/hyperlink" Target="https://nast.org/wp-content/uploads/financialwellness/speakers/infographic.pdf" TargetMode="External"/><Relationship Id="rId32" Type="http://schemas.openxmlformats.org/officeDocument/2006/relationships/footer" Target="footer2.xml"/><Relationship Id="rId13" Type="http://schemas.openxmlformats.org/officeDocument/2006/relationships/hyperlink" Target="https://bit.ly/3t3y3cA" TargetMode="External"/><Relationship Id="rId12" Type="http://schemas.openxmlformats.org/officeDocument/2006/relationships/hyperlink" Target="https://nast.org/wp-content/uploads/financialwellness/toolkit/social.pdf" TargetMode="External"/><Relationship Id="rId15" Type="http://schemas.openxmlformats.org/officeDocument/2006/relationships/hyperlink" Target="https://bit.ly/3rBYOEB" TargetMode="External"/><Relationship Id="rId14" Type="http://schemas.openxmlformats.org/officeDocument/2006/relationships/hyperlink" Target="https://bit.ly/3rBY5Dn" TargetMode="External"/><Relationship Id="rId17" Type="http://schemas.openxmlformats.org/officeDocument/2006/relationships/hyperlink" Target="https://nast.org/wp-content/uploads/financialwellness/toolkit/op-ed.pdf" TargetMode="External"/><Relationship Id="rId16" Type="http://schemas.openxmlformats.org/officeDocument/2006/relationships/hyperlink" Target="https://nast.org/financialwellness/census/" TargetMode="External"/><Relationship Id="rId19" Type="http://schemas.openxmlformats.org/officeDocument/2006/relationships/hyperlink" Target="https://nast.org/financialwellness/" TargetMode="External"/><Relationship Id="rId18" Type="http://schemas.openxmlformats.org/officeDocument/2006/relationships/hyperlink" Target="https://www.pwc.com/us/en/services/consulting/business-transformation/library/employee-financial-wellness-survey.html"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Garamond-regular.ttf"/><Relationship Id="rId3" Type="http://schemas.openxmlformats.org/officeDocument/2006/relationships/font" Target="fonts/Garamond-bold.ttf"/><Relationship Id="rId4" Type="http://schemas.openxmlformats.org/officeDocument/2006/relationships/font" Target="fonts/Garamond-italic.ttf"/><Relationship Id="rId5" Type="http://schemas.openxmlformats.org/officeDocument/2006/relationships/font" Target="fonts/Garamond-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htlWZo7uctVzuBaXLRSiUe9RQ==">CgMxLjA4AHIhMW1Id280Q1pkUlBrRVZfV3BwOEs4UHcyRFk2MkNEVTVm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2024-02-15T20:02:00Z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